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A918" w14:textId="77777777" w:rsidR="00F5787F" w:rsidRDefault="00F5787F" w:rsidP="00F5787F">
      <w:pPr>
        <w:tabs>
          <w:tab w:val="left" w:pos="53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C0899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C0899">
        <w:rPr>
          <w:rFonts w:ascii="Times New Roman" w:hAnsi="Times New Roman" w:cs="Times New Roman"/>
          <w:b/>
          <w:sz w:val="28"/>
          <w:szCs w:val="28"/>
        </w:rPr>
        <w:t xml:space="preserve"> о планируемой перевозке груза повышенной опасности транспортными средствами внутреннего водного и (или) железнодорожного транспорта</w:t>
      </w:r>
      <w:r w:rsidRPr="00545D5E">
        <w:rPr>
          <w:rFonts w:ascii="Times New Roman" w:hAnsi="Times New Roman" w:cs="Times New Roman"/>
          <w:b/>
          <w:sz w:val="28"/>
          <w:szCs w:val="28"/>
        </w:rPr>
        <w:t>»</w:t>
      </w:r>
    </w:p>
    <w:p w14:paraId="40C6EABD" w14:textId="77777777" w:rsidR="00F5787F" w:rsidRDefault="00F5787F" w:rsidP="00F5787F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83984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01.09.2024 устанавливается порядок направления в Ространснадзор уведомления о планируемой перевозке груза повышенной опасности транспортными средствами внутреннего водного и (или) железнодорожного транспорта.</w:t>
      </w:r>
    </w:p>
    <w:p w14:paraId="64334329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Минтранса России от 20.11.2023 № 385 утвержден порядок направления субъектом транспортной инфраструктуры и (или) перевозчиком уведомления о планируемой перевозке груза повышенной опасности транспортными средствами внутреннего водного и (или) железнодорожного транспорта, за исключением перевозки, предназначенной для удовлетворения особо важных государственных и оборонных нужд, в Федеральную службу по надзору в сфере транспорта или ее территориальный орган.</w:t>
      </w:r>
    </w:p>
    <w:p w14:paraId="1DA45D4E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руководителем субъекта транспортной инфраструктуры и (или) перевозчика или иным лицом, имеющим право действовать от имени субъекта транспортной инфраструктуры и (или) перевозчика (далее - заявитель), путем заполнения в личном кабинете электронных форм уведомлений и размещения электронных образов документов не позднее одного часа с момента оформления транспортной накладной, транспортной железнодорожной накладной на перевозку грузов повышенной опасности.</w:t>
      </w:r>
    </w:p>
    <w:p w14:paraId="459C31E8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подписания уведомления в личном кабинете заявителем используется усиленная квалифицированная электронная подпись в соответствии с Федеральным законом от 06.04.2011№ 63-ФЗ «Об электронной подписи». </w:t>
      </w:r>
    </w:p>
    <w:p w14:paraId="14337071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заполнение и подписание электронной формы осуществляется представителем лица, уполномоченным заявителем для направления уведомления, к представленному для отправки уведомлению прилагается документ, подтверждающий полномочия указанного лица, в машиночитаемом виде</w:t>
      </w:r>
    </w:p>
    <w:p w14:paraId="146D6CC1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на русском языке с использованием кириллицы машинописным текстом. Допускается оформление уведомления на английском языке с использованием латиницы.</w:t>
      </w:r>
    </w:p>
    <w:p w14:paraId="44F1E973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 следующий перечень предоставляемых сведений:</w:t>
      </w:r>
    </w:p>
    <w:p w14:paraId="0F95C99B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субъекте транспортной инфраструктуры и (или) перевозчике.</w:t>
      </w:r>
    </w:p>
    <w:p w14:paraId="0063F736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лице, назначенным субъектом транспортной инфраструктуры (перевозчиком) ответственным за обеспечение транспортной безопасности в субъекте транспортной инфраструктуры.</w:t>
      </w:r>
    </w:p>
    <w:p w14:paraId="160F7310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 перевозки.</w:t>
      </w:r>
    </w:p>
    <w:p w14:paraId="69BDF93D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маршрут движения. </w:t>
      </w:r>
    </w:p>
    <w:p w14:paraId="380F8BDC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груза.</w:t>
      </w:r>
    </w:p>
    <w:p w14:paraId="477535C9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грузоотправителе и грузополучателе. </w:t>
      </w:r>
    </w:p>
    <w:p w14:paraId="769D4911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транспортном средстве, задействованном в перевозке груза.</w:t>
      </w:r>
    </w:p>
    <w:p w14:paraId="0B090458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планируемая дата отправки и прибытия груза.</w:t>
      </w:r>
    </w:p>
    <w:p w14:paraId="73F85E7C" w14:textId="77777777" w:rsidR="00F5787F" w:rsidRDefault="00F5787F" w:rsidP="00F5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сопроводительного письма компетентного органа в области обеспечения транспортной безопасности об отметке о поступлении утвержденного паспорта обеспечения транспортной безопасности транспортного средства и (или) сведения об утвержденном плане обеспечения транспортной безопасности объекта транспортной инфраструктуры.</w:t>
      </w:r>
    </w:p>
    <w:p w14:paraId="1A4DB5EF" w14:textId="77777777" w:rsidR="00F5787F" w:rsidRDefault="00F5787F" w:rsidP="00F5787F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49411B" w14:textId="77777777" w:rsidR="00F5787F" w:rsidRPr="0022428A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«Изменения в законодательстве о противодействии коррупции»</w:t>
      </w:r>
    </w:p>
    <w:p w14:paraId="3F5373E3" w14:textId="77777777" w:rsidR="00F5787F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1A573" w14:textId="77777777" w:rsidR="00F5787F" w:rsidRPr="0022428A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 от 25.01.2024 № 71 расширяется перечень оснований для проведения заседания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118532C1" w14:textId="77777777" w:rsidR="00F5787F" w:rsidRPr="0022428A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изменения внесены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утв. Указом Президента Российской Федерации от 01.07.2010 № 821.</w:t>
      </w:r>
    </w:p>
    <w:p w14:paraId="3DF8C0E6" w14:textId="77777777" w:rsidR="00F5787F" w:rsidRPr="0022428A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оснований будет являться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или требований об урегулировании конфликта интересов.</w:t>
      </w:r>
    </w:p>
    <w:p w14:paraId="0B0D0688" w14:textId="77777777" w:rsidR="00F5787F" w:rsidRPr="0022428A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будет рассматриваться подразделением кадровой службы государственного органа по профилактике коррупционных и иных правонарушений, которое подготавливает мотивированные заключения по результатам рассмотрения уведомлений.</w:t>
      </w:r>
    </w:p>
    <w:p w14:paraId="0DC0541E" w14:textId="77777777" w:rsidR="00F5787F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уведомлении, комиссия принимает одно из следующих решений:</w:t>
      </w:r>
    </w:p>
    <w:p w14:paraId="2667CC08" w14:textId="77777777" w:rsidR="00F5787F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или требований об урегулировании конфликта интересов;</w:t>
      </w:r>
    </w:p>
    <w:p w14:paraId="770B0D2B" w14:textId="77777777" w:rsidR="00F5787F" w:rsidRPr="0022428A" w:rsidRDefault="00F5787F" w:rsidP="00F5787F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признать отсутствие такой причинно-следственной связи.</w:t>
      </w:r>
    </w:p>
    <w:p w14:paraId="7E0528A6" w14:textId="77777777" w:rsidR="00F5787F" w:rsidRPr="003C6E7A" w:rsidRDefault="00F5787F" w:rsidP="00F5787F">
      <w:pPr>
        <w:rPr>
          <w:rFonts w:ascii="Times New Roman" w:hAnsi="Times New Roman" w:cs="Times New Roman"/>
          <w:sz w:val="27"/>
          <w:szCs w:val="27"/>
        </w:rPr>
      </w:pPr>
    </w:p>
    <w:p w14:paraId="26F5563A" w14:textId="77777777" w:rsidR="00F5787F" w:rsidRPr="003C6E7A" w:rsidRDefault="00F5787F" w:rsidP="00F5787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E7A">
        <w:rPr>
          <w:rFonts w:ascii="Times New Roman" w:hAnsi="Times New Roman" w:cs="Times New Roman"/>
          <w:b/>
          <w:sz w:val="27"/>
          <w:szCs w:val="27"/>
        </w:rPr>
        <w:t>«путешествие несопровождаемого ребенка воздушным транспортом»</w:t>
      </w:r>
    </w:p>
    <w:p w14:paraId="2CF9B488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Без сопровождения взрослых может лететь на самолете только ребенок, достигший 12 лет.</w:t>
      </w:r>
    </w:p>
    <w:p w14:paraId="028F877F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Ребенок в возрасте до 2 лет, а также ребенок-инвалид в возрасте до двенадцати лет перевозятся только в сопровождении совершеннолетнего пассажира.</w:t>
      </w:r>
    </w:p>
    <w:p w14:paraId="574DCE8E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Дети в возрасте от 2 до 12 лет могут перевозиться в сопровождении совершеннолетнего пассажира, либо без сопровождения указанного пассажира под наблюдением перевозчика, если такая перевозка предусмотрена правилами перевозчика.</w:t>
      </w:r>
    </w:p>
    <w:p w14:paraId="5EF9F900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Несопровождаемые дети в возрасте от 2 до 12 лет могут перевозиться под наблюдением перевозчика только после оформления законными представителями (родителями) в соответствии с правилами перевозчика письменного заявления на перевозку несопровождаемого ребенка. По просьбе </w:t>
      </w:r>
      <w:r w:rsidRPr="003C6E7A">
        <w:rPr>
          <w:rFonts w:ascii="Times New Roman" w:hAnsi="Times New Roman" w:cs="Times New Roman"/>
          <w:sz w:val="28"/>
          <w:szCs w:val="28"/>
        </w:rPr>
        <w:lastRenderedPageBreak/>
        <w:t>законных представителей перевозка под наблюдением перевозчика может распространяться на детей в возрасте до шестнадцати лет.</w:t>
      </w:r>
    </w:p>
    <w:p w14:paraId="36D2568F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Такие правила установлены Федеральными авиационными правилами воздушных перевозок пассажиров, багажа, грузов и требования к обслуживанию пассажиров, грузоотправителей, грузополучателей, утвержденными Приказом Минтранса России от 28.06.2007 № 82.</w:t>
      </w:r>
    </w:p>
    <w:p w14:paraId="3E4F7275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При принятии решения об отправлении ребенка на самолете одного следует ознакомиться не только с Федеральными авиационными правилами воздушных перевозок, но и правилами конкретного выбранного перевозчика.</w:t>
      </w:r>
    </w:p>
    <w:p w14:paraId="08E6C96D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Например, авиакомпания Аэрофлот оказывает данную услугу при обязательном заполнении заявления в офисах собственных продаж Аэрофлота или в офисах агентов одновременно с оформлением перевозки и покупкой авиабилета с взымаемой платой.</w:t>
      </w:r>
    </w:p>
    <w:p w14:paraId="18CA02B0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Вам необходимо своевременно прибыть в аэропорт. Регистрация несопровождаемых детей производится только на стойке регистрации в аэропорту.</w:t>
      </w:r>
    </w:p>
    <w:p w14:paraId="18D5D43C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При регистрации необходимо предъявить:</w:t>
      </w:r>
    </w:p>
    <w:p w14:paraId="5E3BC169" w14:textId="77777777" w:rsidR="00F5787F" w:rsidRPr="003C6E7A" w:rsidRDefault="00F5787F" w:rsidP="00F578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14:paraId="3577BB27" w14:textId="77777777" w:rsidR="00F5787F" w:rsidRPr="003C6E7A" w:rsidRDefault="00F5787F" w:rsidP="00F578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заполненные бланки заявления и заявки, в которой указаны все необходимые данные (имена, адреса, телефоны) провожающего и встречающего лиц;</w:t>
      </w:r>
    </w:p>
    <w:p w14:paraId="4D53911F" w14:textId="77777777" w:rsidR="00F5787F" w:rsidRPr="003C6E7A" w:rsidRDefault="00F5787F" w:rsidP="00F578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квитанция, подтверждающая оплату услуги;</w:t>
      </w:r>
    </w:p>
    <w:p w14:paraId="19F336D1" w14:textId="77777777" w:rsidR="00F5787F" w:rsidRPr="003C6E7A" w:rsidRDefault="00F5787F" w:rsidP="00F578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свидетельство о рождении (для полета по Российской Федерации);</w:t>
      </w:r>
    </w:p>
    <w:p w14:paraId="228AC0A0" w14:textId="77777777" w:rsidR="00F5787F" w:rsidRPr="003C6E7A" w:rsidRDefault="00F5787F" w:rsidP="00F578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документ, удостоверяющий личность провожающего лица;</w:t>
      </w:r>
    </w:p>
    <w:p w14:paraId="400C85A7" w14:textId="77777777" w:rsidR="00F5787F" w:rsidRPr="003C6E7A" w:rsidRDefault="00F5787F" w:rsidP="00F578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для международных рейсов: загранпаспорт и документы, необходимые для следования в страну назначения (официальную информацию о документах, необходимых для въезда в страну, можно получить только в консульстве той страны, в которую въезжает ребенок);</w:t>
      </w:r>
    </w:p>
    <w:p w14:paraId="3B70351B" w14:textId="77777777" w:rsidR="00F5787F" w:rsidRPr="003C6E7A" w:rsidRDefault="00F5787F" w:rsidP="00F578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документы, которые необходимы для выезда ребенка в случае, если несовершеннолетнего в поездке за рубеж сопровождают не родители (усыновители, опекуны или попечители).</w:t>
      </w:r>
    </w:p>
    <w:p w14:paraId="5AB213B1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A40B1" w14:textId="77777777" w:rsidR="00F5787F" w:rsidRPr="003C6E7A" w:rsidRDefault="00F5787F" w:rsidP="00F5787F">
      <w:pPr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После регистрации комплект документов на ребенка, вкладывается в пластиковый планшет. Планшет с документами надевается на ребенка во время регистрации и должен постоянно находиться у него на груди на протяжении всего маршрута перевозки.</w:t>
      </w:r>
    </w:p>
    <w:p w14:paraId="2A80CCE0" w14:textId="77777777" w:rsidR="00F5787F" w:rsidRPr="003C6E7A" w:rsidRDefault="00F5787F" w:rsidP="00F5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7A">
        <w:rPr>
          <w:rFonts w:ascii="Times New Roman" w:hAnsi="Times New Roman" w:cs="Times New Roman"/>
          <w:b/>
          <w:sz w:val="27"/>
          <w:szCs w:val="27"/>
        </w:rPr>
        <w:t>«</w:t>
      </w:r>
      <w:r w:rsidRPr="003C6E7A">
        <w:rPr>
          <w:rFonts w:ascii="Times New Roman" w:hAnsi="Times New Roman" w:cs="Times New Roman"/>
          <w:b/>
          <w:sz w:val="28"/>
          <w:szCs w:val="28"/>
        </w:rPr>
        <w:t>Изменения в правилах провоза зарядных устройств на борту воздушного судна (с 1 апреля 2024 года)»</w:t>
      </w:r>
    </w:p>
    <w:p w14:paraId="2A40698B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lastRenderedPageBreak/>
        <w:t>Международная организация гражданской авиации запретила перевозку литий-ионных аккумуляторов в багаже на пассажирских воздушных судах. Запрет на пронос на борт самолета аккумуляторов, используемых в фотоаппаратах, смартфонах и прочей электронике, был введен из-за их пожароопасности.</w:t>
      </w:r>
    </w:p>
    <w:p w14:paraId="041DCDDF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полетов в ЗАРЕГИСТРИРОВАННОМ багаже ЗАПРЕЩЕН провоз портативных зарядных устройств (внешних аккумуляторов, пауэрбанков (Power Bank), портативных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-зарядных устройств), содержащих литиевые аккумуляторы (батареи). Согласно нормативному регулированию, перевозка зарядных устройств разрешена только в РУЧНОЙ КЛАДИ.</w:t>
      </w:r>
    </w:p>
    <w:p w14:paraId="066F855C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При этом портативные зарядные устройства, перевозимые в ручной клади, должны быть правильно упакованы для защиты от возможного короткого замыкания одним из следующих способов:</w:t>
      </w:r>
    </w:p>
    <w:p w14:paraId="7F5BC760" w14:textId="77777777" w:rsidR="00F5787F" w:rsidRPr="003C6E7A" w:rsidRDefault="00F5787F" w:rsidP="00F578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размещение устройства в оригинальной розничной упаковке;</w:t>
      </w:r>
    </w:p>
    <w:p w14:paraId="7EFCAD79" w14:textId="77777777" w:rsidR="00F5787F" w:rsidRPr="003C6E7A" w:rsidRDefault="00F5787F" w:rsidP="00F578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путём обматывания изоляционной лентой открытых клемм;</w:t>
      </w:r>
    </w:p>
    <w:p w14:paraId="3E98080C" w14:textId="77777777" w:rsidR="00F5787F" w:rsidRPr="003C6E7A" w:rsidRDefault="00F5787F" w:rsidP="00F578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перевозка каждой батареи в отдельном пластиковом пакете или защитном чехле.</w:t>
      </w:r>
    </w:p>
    <w:p w14:paraId="69798F65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Литий-ионные батареи (отдельные от устройства, как запасные части) могут перевозиться в количестве не более двух штук на одного пассажира с мощностью, превышающей 100 Вт/ч, но не более 160 в/ч только в ручной клади. В багаже, сдаваемом при регистрации на рейс, такие батареи запрещены. Батареи должны быть индивидуально защищены от короткого замыкания (например, путем помещения их в оригинальную упаковку или изоляции контактов, т.е. блокировки изолентой контактов или размещения каждой батареи в отдельном пластиковом мешке или защитной упаковке). Литий-ионные батареи должны отвечать требованиям прохождения испытаний согласно подразделу 38.3 части 3 Рекомендаций по перевозке опасных грузов – Руководство ООН по испытаниям и критериям.</w:t>
      </w:r>
    </w:p>
    <w:p w14:paraId="777F0A20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К перевозке в ручной клади допускаются устройства, батареи которых соответствуют следующим параметрам:</w:t>
      </w:r>
    </w:p>
    <w:p w14:paraId="5FB4782A" w14:textId="77777777" w:rsidR="00F5787F" w:rsidRPr="003C6E7A" w:rsidRDefault="00F5787F" w:rsidP="00F578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содержание лития в литий-металлических батареях – не более 2 г;</w:t>
      </w:r>
    </w:p>
    <w:p w14:paraId="2972DDEB" w14:textId="77777777" w:rsidR="00F5787F" w:rsidRPr="003C6E7A" w:rsidRDefault="00F5787F" w:rsidP="00F578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удельная мощность литий-ионных батарей – не выше 100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;</w:t>
      </w:r>
    </w:p>
    <w:p w14:paraId="36B8411C" w14:textId="77777777" w:rsidR="00F5787F" w:rsidRPr="003C6E7A" w:rsidRDefault="00F5787F" w:rsidP="00F578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устройства с батареями удельной мощностью свыше 100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 xml:space="preserve"> (до 160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) включительно допускаются к перевозке в количестве не более двух единиц и только при условии согласования с авиаперевозчиком.</w:t>
      </w:r>
    </w:p>
    <w:p w14:paraId="55A6A69D" w14:textId="77777777" w:rsidR="00F5787F" w:rsidRPr="003C6E7A" w:rsidRDefault="00F5787F" w:rsidP="00F578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Зарядные устройства и запасные батареи с содержанием лития и удельной мощностью свыше 160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 xml:space="preserve"> ЗАПРЕЩЕНЫ для провоза пассажирами.</w:t>
      </w:r>
    </w:p>
    <w:p w14:paraId="7552ADE6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Особые условия действуют в отношении провоза запасных литий-ионных батарей, для инвалидных кресел с электроприводом, принадлежащих </w:t>
      </w:r>
      <w:r w:rsidRPr="003C6E7A">
        <w:rPr>
          <w:rFonts w:ascii="Times New Roman" w:hAnsi="Times New Roman" w:cs="Times New Roman"/>
          <w:sz w:val="28"/>
          <w:szCs w:val="28"/>
        </w:rPr>
        <w:lastRenderedPageBreak/>
        <w:t>маломобильным пассажирам. При перевозке инвалидных кресел, в случаях, когда средство передвижения не обеспечивает надлежащей защиты батареи, необходимо учесть следующие правила:</w:t>
      </w:r>
    </w:p>
    <w:p w14:paraId="7FE63AB9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батарея должна быть снята в соответствии с инструкцией изготовителя;</w:t>
      </w:r>
    </w:p>
    <w:p w14:paraId="3E67DA3F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клеммы батареи должны быть защищены от короткого замыкания (посредством изоляции клемм, например, обматыванием изоляционной лентой открытых клемм);</w:t>
      </w:r>
    </w:p>
    <w:p w14:paraId="312C7349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батарея должна быть защищена от повреждений (например, посредством её размещения в защитном чехле);</w:t>
      </w:r>
    </w:p>
    <w:p w14:paraId="114F8D8A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энергоемкость батареи (удельная мощность) не должна превышать 300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;</w:t>
      </w:r>
    </w:p>
    <w:p w14:paraId="33F5AEB1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разрешается перевозка только одной запасной батареи энергоемкостью (удельной мощностью) не более 300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 xml:space="preserve"> или двух запасных батарей, энергоемкость (удельная мощность) каждой из которых не превышает 160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.</w:t>
      </w:r>
    </w:p>
    <w:p w14:paraId="733B81AE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батарея должна перевозиться в пассажирском салоне.</w:t>
      </w:r>
    </w:p>
    <w:p w14:paraId="4CEAF80E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Устройства, работающие на литиевых аккумуляторах (батареях), должны быть полностью выключены (не находиться в режиме ожидания или режиме пониженного энергопотребления), помещены в защитную упаковку (во избежание неумышленной активации или повреждения).</w:t>
      </w:r>
    </w:p>
    <w:p w14:paraId="6D3B1710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Рекомендованная защита может обеспечиваться в виде твердого чемодана (чехла) и/или амортизирующего материала, такого как одежда, чтобы препятствовать его перемещению.</w:t>
      </w:r>
    </w:p>
    <w:p w14:paraId="0EF0A2D2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6E7A">
        <w:rPr>
          <w:rFonts w:ascii="Times New Roman" w:hAnsi="Times New Roman" w:cs="Times New Roman"/>
          <w:sz w:val="28"/>
          <w:szCs w:val="28"/>
          <w:u w:val="single"/>
        </w:rPr>
        <w:t>Пример перевозки устройств на борту воздушного судна:</w:t>
      </w:r>
    </w:p>
    <w:p w14:paraId="40A31C3E" w14:textId="77777777" w:rsidR="00F5787F" w:rsidRPr="003C6E7A" w:rsidRDefault="00F5787F" w:rsidP="00F5787F">
      <w:pPr>
        <w:rPr>
          <w:rFonts w:ascii="Times New Roman" w:hAnsi="Times New Roman" w:cs="Times New Roman"/>
          <w:i/>
          <w:sz w:val="28"/>
          <w:szCs w:val="28"/>
        </w:rPr>
      </w:pPr>
      <w:r w:rsidRPr="003C6E7A">
        <w:rPr>
          <w:rFonts w:ascii="Times New Roman" w:hAnsi="Times New Roman" w:cs="Times New Roman"/>
          <w:i/>
          <w:sz w:val="28"/>
          <w:szCs w:val="28"/>
        </w:rPr>
        <w:t>Малогабаритные средства для личного передвижения.</w:t>
      </w:r>
    </w:p>
    <w:p w14:paraId="4C7F5B14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Работают на литий-ионных аккумуляторах (батареях). Пример оборудования: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 xml:space="preserve">; сегвей (мини-сегвей); ховерборд;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.</w:t>
      </w:r>
    </w:p>
    <w:p w14:paraId="4CD5DEF7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В соответствии с рекомендациями IATA, перевозка указанных средств на воздушных судах возможна только в качестве зарегистрированного багажа при условии, что в средстве передвижения отсутствует литиевая батарея.</w:t>
      </w:r>
    </w:p>
    <w:p w14:paraId="43D77542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Литиевая батарея допускается к перевозке, только в ручной клади и извлеченная из средства передвижения, при условии, что мощность батареи не превышает установленной нормы - 160 Ватт-час (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, W/h).</w:t>
      </w:r>
    </w:p>
    <w:p w14:paraId="3BBA426A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Малогабаритное средство с встроенной (не извлекаемой) литиевой батареей к перевозке не принимается.</w:t>
      </w:r>
    </w:p>
    <w:p w14:paraId="7392A363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i/>
          <w:sz w:val="28"/>
          <w:szCs w:val="28"/>
        </w:rPr>
        <w:t xml:space="preserve">Литий-ионные аккумуляторы с удельной мощностью более 160 </w:t>
      </w:r>
      <w:proofErr w:type="spellStart"/>
      <w:r w:rsidRPr="003C6E7A">
        <w:rPr>
          <w:rFonts w:ascii="Times New Roman" w:hAnsi="Times New Roman" w:cs="Times New Roman"/>
          <w:i/>
          <w:sz w:val="28"/>
          <w:szCs w:val="28"/>
        </w:rPr>
        <w:t>ВтчПример</w:t>
      </w:r>
      <w:proofErr w:type="spellEnd"/>
      <w:r w:rsidRPr="003C6E7A">
        <w:rPr>
          <w:rFonts w:ascii="Times New Roman" w:hAnsi="Times New Roman" w:cs="Times New Roman"/>
          <w:i/>
          <w:sz w:val="28"/>
          <w:szCs w:val="28"/>
        </w:rPr>
        <w:t xml:space="preserve"> оборудования: </w:t>
      </w:r>
      <w:r w:rsidRPr="003C6E7A">
        <w:rPr>
          <w:rFonts w:ascii="Times New Roman" w:hAnsi="Times New Roman" w:cs="Times New Roman"/>
          <w:sz w:val="28"/>
          <w:szCs w:val="28"/>
        </w:rPr>
        <w:t xml:space="preserve">промышленное оборудование, включенное в некоторые </w:t>
      </w:r>
      <w:r w:rsidRPr="003C6E7A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электрические и гибридные транспортные средства; мобильные устройства и мопеды. </w:t>
      </w:r>
    </w:p>
    <w:p w14:paraId="5B9306B9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Запрещается осуществлять перевозку в качестве багажа и ручной клади.</w:t>
      </w:r>
    </w:p>
    <w:p w14:paraId="3275C77E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Категория «опасный груз» (в соответствии с Техническими инструкциями по безопасной перевозке опасных грузов по воздуху.</w:t>
      </w:r>
    </w:p>
    <w:p w14:paraId="6B72EFE8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За исключением: Кресла-каталки или аналогичные мобильные средства передвижения, работающие на литий-ионных аккумуляторах с удельной мощностью более 160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, используемые пассажирами с ограниченной подвижностью вследствие особого состояния здоровья, возраста или временных состояний (например, при переломе ноги).</w:t>
      </w:r>
    </w:p>
    <w:p w14:paraId="336A8DE5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Литий-ионные аккумуляторы с удельной мощностью 100-160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</w:p>
    <w:p w14:paraId="19D2525A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(Литий-металлические аккумуляторы с содержанием лития 2-8 г (LC)) Пример оборудования: ноутбуки с увеличенным ресурсом; профессиональное аудио- и </w:t>
      </w:r>
      <w:proofErr w:type="gramStart"/>
      <w:r w:rsidRPr="003C6E7A">
        <w:rPr>
          <w:rFonts w:ascii="Times New Roman" w:hAnsi="Times New Roman" w:cs="Times New Roman"/>
          <w:sz w:val="28"/>
          <w:szCs w:val="28"/>
        </w:rPr>
        <w:t>видео-оборудование</w:t>
      </w:r>
      <w:proofErr w:type="gramEnd"/>
      <w:r w:rsidRPr="003C6E7A">
        <w:rPr>
          <w:rFonts w:ascii="Times New Roman" w:hAnsi="Times New Roman" w:cs="Times New Roman"/>
          <w:sz w:val="28"/>
          <w:szCs w:val="28"/>
        </w:rPr>
        <w:t>; портативные медицинские приборы.</w:t>
      </w:r>
    </w:p>
    <w:p w14:paraId="34ADF71A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В ручной клади: требуется разрешение авиакомпании; разрешается внутри оборудования; должны быть приняты меры, предотвращающие их самопроизвольное приведение в действие; запасные батареи перевозятся отдельно; должны быть защищены таким образом, чтобы исключалась возможность короткого замыкания (например, посредством размещения в розничной упаковке, или обматывания лентой открытых полюсов, или размещения каждой батареи в отдельном пластиковом мешке или защитном пакете); одному пассажиру разрешается перевозить не более двух запасных литий-металлических батарей.</w:t>
      </w:r>
    </w:p>
    <w:p w14:paraId="10ED60F6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В зарегистрированном багаже: требуется разрешение авиакомпании; должны находиться внутри оборудования; должны быть приняты меры, предотвращающие их самопроизвольное приведение в действие; провоз запасных аккумуляторов (не вставленных в оборудование) запрещен.</w:t>
      </w:r>
    </w:p>
    <w:p w14:paraId="7DAD7FE6" w14:textId="77777777" w:rsidR="00F5787F" w:rsidRPr="003C6E7A" w:rsidRDefault="00F5787F" w:rsidP="00F5787F">
      <w:pPr>
        <w:rPr>
          <w:rFonts w:ascii="Times New Roman" w:hAnsi="Times New Roman" w:cs="Times New Roman"/>
          <w:i/>
          <w:sz w:val="28"/>
          <w:szCs w:val="28"/>
        </w:rPr>
      </w:pPr>
      <w:r w:rsidRPr="003C6E7A">
        <w:rPr>
          <w:rFonts w:ascii="Times New Roman" w:hAnsi="Times New Roman" w:cs="Times New Roman"/>
          <w:i/>
          <w:sz w:val="28"/>
          <w:szCs w:val="28"/>
        </w:rPr>
        <w:t xml:space="preserve">Литий-ионные аккумуляторы с удельной мощностью до 100 </w:t>
      </w:r>
      <w:proofErr w:type="spellStart"/>
      <w:r w:rsidRPr="003C6E7A">
        <w:rPr>
          <w:rFonts w:ascii="Times New Roman" w:hAnsi="Times New Roman" w:cs="Times New Roman"/>
          <w:i/>
          <w:sz w:val="28"/>
          <w:szCs w:val="28"/>
        </w:rPr>
        <w:t>Втч</w:t>
      </w:r>
      <w:proofErr w:type="spellEnd"/>
    </w:p>
    <w:p w14:paraId="0410A626" w14:textId="77777777" w:rsidR="00F5787F" w:rsidRPr="003C6E7A" w:rsidRDefault="00F5787F" w:rsidP="00F5787F">
      <w:pPr>
        <w:rPr>
          <w:rFonts w:ascii="Times New Roman" w:hAnsi="Times New Roman" w:cs="Times New Roman"/>
          <w:i/>
          <w:sz w:val="28"/>
          <w:szCs w:val="28"/>
        </w:rPr>
      </w:pPr>
      <w:r w:rsidRPr="003C6E7A">
        <w:rPr>
          <w:rFonts w:ascii="Times New Roman" w:hAnsi="Times New Roman" w:cs="Times New Roman"/>
          <w:i/>
          <w:sz w:val="28"/>
          <w:szCs w:val="28"/>
        </w:rPr>
        <w:t xml:space="preserve">(Литий-металлические аккумуляторы с содержанием лития не более 2 г (LC)) </w:t>
      </w:r>
    </w:p>
    <w:p w14:paraId="0DC2C292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Пример оборудования: мобильные телефоны; видеокамеры; часы; портативные музыкальные плееры; ноутбуки; портативные медицинские приборы.</w:t>
      </w:r>
    </w:p>
    <w:p w14:paraId="03AF0873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В ручной клади: разрешается внутри оборудования; запасные батареи должны отдельно защищаться таким образом, чтобы исключалась возможность короткого замыкания (например, посредством размещения в розничной упаковке, или обматывания лентой открытых полюсов, или размещения каждой батареи в отдельном пластиковом мешке или защитном пакете).</w:t>
      </w:r>
    </w:p>
    <w:p w14:paraId="6CE3DA19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В зарегистрированном багаже: должны находиться внутри оборудования; должны быть приняты меры, предотвращающие их самопроизвольное приведение в действие; провоз запасных аккумуляторов (не вставленных в оборудование) запрещен.</w:t>
      </w:r>
    </w:p>
    <w:p w14:paraId="7C32E55E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i/>
          <w:sz w:val="28"/>
          <w:szCs w:val="28"/>
        </w:rPr>
        <w:lastRenderedPageBreak/>
        <w:t>Power Bank</w:t>
      </w:r>
      <w:r w:rsidRPr="003C6E7A">
        <w:rPr>
          <w:rFonts w:ascii="Times New Roman" w:hAnsi="Times New Roman" w:cs="Times New Roman"/>
          <w:sz w:val="28"/>
          <w:szCs w:val="28"/>
        </w:rPr>
        <w:t>: «Power Bank» допускается к перевозке, только в ручной клади. Перевозка Power Bank в багаже запрещена. На рейсах АО «Авиакомпания Аэрофлот», допускается к перевозке Power Bank с мощностью до 160 Вт ч. «Power Bank» с мощностью батареи более 160 Вт ч, к перевозке на воздушном судне запрещается.</w:t>
      </w:r>
    </w:p>
    <w:p w14:paraId="479643C1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i/>
          <w:sz w:val="28"/>
          <w:szCs w:val="28"/>
        </w:rPr>
        <w:t>Портативные электронные курительные устройства, приводимые в действие батареями</w:t>
      </w:r>
      <w:r w:rsidRPr="003C6E7A">
        <w:rPr>
          <w:rFonts w:ascii="Times New Roman" w:hAnsi="Times New Roman" w:cs="Times New Roman"/>
          <w:sz w:val="28"/>
          <w:szCs w:val="28"/>
        </w:rPr>
        <w:t xml:space="preserve"> (например, электронные сигареты, электронные тонкие сигары, электронные сигары, электронные трубки, персональные парогенераторы, электронные системы подачи никотина, в т.ч. IQOS) Допускаются к перевозке, только в ручной клади или при себе.</w:t>
      </w:r>
    </w:p>
    <w:p w14:paraId="6AB21FA6" w14:textId="77777777" w:rsidR="00F5787F" w:rsidRPr="003C6E7A" w:rsidRDefault="00F5787F" w:rsidP="00F5787F">
      <w:p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Ограничения: перевозимые пассажирами или членами экипажа для личного пользования; запасные батареи должны быть по отдельности защищены во избежание короткого замыкания (путем размещения в оригинальной торговой упаковке или за счет иного метода изоляции клемм); параметры каждой батареи не должны превышать следующие:</w:t>
      </w:r>
    </w:p>
    <w:p w14:paraId="4E7509A8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в литий-металлических батареях содержания лития 2 г;</w:t>
      </w:r>
    </w:p>
    <w:p w14:paraId="7B005083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 xml:space="preserve">удельная мощность ионно-литиевых батарей 100 </w:t>
      </w:r>
      <w:proofErr w:type="spellStart"/>
      <w:r w:rsidRPr="003C6E7A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3C6E7A">
        <w:rPr>
          <w:rFonts w:ascii="Times New Roman" w:hAnsi="Times New Roman" w:cs="Times New Roman"/>
          <w:sz w:val="28"/>
          <w:szCs w:val="28"/>
        </w:rPr>
        <w:t>;</w:t>
      </w:r>
    </w:p>
    <w:p w14:paraId="561DB3AA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использование устройств на борту воздушного судна запрещено;</w:t>
      </w:r>
    </w:p>
    <w:p w14:paraId="4C82672F" w14:textId="77777777" w:rsidR="00F5787F" w:rsidRPr="003C6E7A" w:rsidRDefault="00F5787F" w:rsidP="00F578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зарядка устройств и/или батарей на борту воздушного судна запрещена.</w:t>
      </w:r>
    </w:p>
    <w:p w14:paraId="41BD5B87" w14:textId="77777777" w:rsidR="00F5787F" w:rsidRPr="003C6E7A" w:rsidRDefault="00F5787F" w:rsidP="00F5787F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E7A">
        <w:rPr>
          <w:rFonts w:ascii="Times New Roman" w:hAnsi="Times New Roman" w:cs="Times New Roman"/>
          <w:b/>
          <w:sz w:val="27"/>
          <w:szCs w:val="27"/>
        </w:rPr>
        <w:t>«</w:t>
      </w:r>
      <w:r w:rsidRPr="003C6E7A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 противодействии коррупции»</w:t>
      </w:r>
    </w:p>
    <w:p w14:paraId="186D21A3" w14:textId="77777777" w:rsidR="00F5787F" w:rsidRPr="003C6E7A" w:rsidRDefault="00F5787F" w:rsidP="00F5787F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02AA8" w14:textId="77777777" w:rsidR="00F5787F" w:rsidRPr="003C6E7A" w:rsidRDefault="00F5787F" w:rsidP="00F5787F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Федеральным законом от 19.12.2023 № 605-ФЗ внесены изменения в Федеральный закон «О государственной гражданской службе Российской Федерации» и статью 8 Федерального закона «О противодействии коррупции» Уточнен порядок формирования федерального кадрового резерва на государственной гражданской службе.</w:t>
      </w:r>
    </w:p>
    <w:p w14:paraId="5A612A99" w14:textId="77777777" w:rsidR="00F5787F" w:rsidRPr="003C6E7A" w:rsidRDefault="00F5787F" w:rsidP="00F5787F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Установлено, что гражданский служащий и гражданин, претендующие на включение в федеральный кадровый резерв на гражданской службе, представляют в порядке, устанавливаемом Президентом РФ,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14:paraId="5CAC18EE" w14:textId="77777777" w:rsidR="00F5787F" w:rsidRPr="003C6E7A" w:rsidRDefault="00F5787F" w:rsidP="00F5787F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Корреспондирующие изменения внесены в Закон о противодействии коррупции. Достоверность и полнота сведений о доходах, об имуществе и обязательствах имущественного характера, представляемых государственными гражданскими служащими и гражданами, претендующими на включение в федеральный кадровый резерв, проверяется в порядке, устанавливаемом Президентом РФ.</w:t>
      </w:r>
    </w:p>
    <w:p w14:paraId="009CF787" w14:textId="18E39EF8" w:rsidR="00AF6F2D" w:rsidRPr="00F5787F" w:rsidRDefault="00F5787F" w:rsidP="00F5787F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7A">
        <w:rPr>
          <w:rFonts w:ascii="Times New Roman" w:hAnsi="Times New Roman" w:cs="Times New Roman"/>
          <w:sz w:val="28"/>
          <w:szCs w:val="28"/>
        </w:rPr>
        <w:t>Полномочия по направлению запросов в органы прокуратуры, иные федеральные государственные органы, государственные органы субъектов РФ,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указанных сведений определяются Президентом РФ.</w:t>
      </w:r>
    </w:p>
    <w:sectPr w:rsidR="00AF6F2D" w:rsidRPr="00F5787F" w:rsidSect="001070C1">
      <w:footerReference w:type="first" r:id="rId5"/>
      <w:pgSz w:w="11906" w:h="16838"/>
      <w:pgMar w:top="454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60209940" w14:textId="77777777" w:rsidTr="00183967">
      <w:trPr>
        <w:cantSplit/>
        <w:trHeight w:val="57"/>
      </w:trPr>
      <w:tc>
        <w:tcPr>
          <w:tcW w:w="3643" w:type="dxa"/>
        </w:tcPr>
        <w:p w14:paraId="6A604E09" w14:textId="77777777" w:rsidR="002E7520" w:rsidRDefault="00F5787F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0B9EA4B0" w14:textId="77777777" w:rsidR="00107179" w:rsidRPr="00E12680" w:rsidRDefault="00F5787F" w:rsidP="00957FC4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r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</w:t>
          </w:r>
          <w:r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ег.</w:t>
          </w:r>
          <w:r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номер</w:t>
          </w:r>
          <w:bookmarkEnd w:id="1"/>
        </w:p>
      </w:tc>
    </w:tr>
  </w:tbl>
  <w:p w14:paraId="5DA4179F" w14:textId="77777777" w:rsidR="00107179" w:rsidRDefault="00F5787F" w:rsidP="008B567E">
    <w:pPr>
      <w:pStyle w:val="a3"/>
      <w:spacing w:after="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DF5"/>
    <w:multiLevelType w:val="hybridMultilevel"/>
    <w:tmpl w:val="4642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BDA"/>
    <w:multiLevelType w:val="hybridMultilevel"/>
    <w:tmpl w:val="5F2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BF1"/>
    <w:multiLevelType w:val="hybridMultilevel"/>
    <w:tmpl w:val="204A3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E861F8"/>
    <w:multiLevelType w:val="hybridMultilevel"/>
    <w:tmpl w:val="2E1AF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D8"/>
    <w:rsid w:val="00AF6F2D"/>
    <w:rsid w:val="00D07DD8"/>
    <w:rsid w:val="00F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6A6"/>
  <w15:chartTrackingRefBased/>
  <w15:docId w15:val="{46EA0D22-C78B-47C8-B3EA-A7EEC5F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2504</Words>
  <Characters>14274</Characters>
  <Application>Microsoft Office Word</Application>
  <DocSecurity>0</DocSecurity>
  <Lines>118</Lines>
  <Paragraphs>33</Paragraphs>
  <ScaleCrop>false</ScaleCrop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 Илья С.</dc:creator>
  <cp:keywords/>
  <dc:description/>
  <cp:lastModifiedBy>Брюзгин Илья С.</cp:lastModifiedBy>
  <cp:revision>2</cp:revision>
  <dcterms:created xsi:type="dcterms:W3CDTF">2024-07-02T04:25:00Z</dcterms:created>
  <dcterms:modified xsi:type="dcterms:W3CDTF">2024-07-02T04:26:00Z</dcterms:modified>
</cp:coreProperties>
</file>